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411a0a044da92886ac247e23f2119a563bbab"/>
    <w:p>
      <w:pPr>
        <w:pStyle w:val="Heading3"/>
      </w:pPr>
      <w:r>
        <w:t xml:space="preserve">RAEX И ФСКМБМ ПРОВЕЛИ КОНФЕРЕНЦИЮ «ФИНАНСЫ РАСТУЩЕМУ БИЗНЕСУ»</w:t>
      </w:r>
    </w:p>
    <w:p>
      <w:pPr>
        <w:pStyle w:val="FirstParagraph"/>
      </w:pPr>
      <w:r>
        <w:t xml:space="preserve">06.03.2019</w:t>
      </w:r>
    </w:p>
    <w:p>
      <w:pPr>
        <w:pStyle w:val="BodyText"/>
      </w:pPr>
      <w:r>
        <w:t xml:space="preserve">27 февраля состоялась XIV Ежегодная конференция «Финансы растущему бизнесу», организованная рейтинговым агентством RAEX (РАЭКС-Аналитика) совместно с Московским фондом содействия кредитованию малого бизнеса Москвы, а также при участии Департамента предпринимательства и инновационного развития города Москвы. Аналитической основой мероприятия стало исследование российского рынка МСБ по итогам 2018.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«За последние 7 лет оборот МСБ в России удвоился, превысив 50 трлн рублей, — комментирует Дмитрий Кабалинский, заместитель генерального директора рейтингового агентства RAEX (РАЭКС-Аналитика), — на его долю приходится более трети суммарного оборота всех предприятий и организаций в стране». В России зарегистрировано свыше 6 млн субъектов МСБ с общей численностью работников 15,8 млн чел. – это более 20% общего числа занятых (за год этот показатель снизился почти на 2%). С точки зрения объёмов выручки главенствующая роль в отечественном МСБ принадлежит малым и микро- компаниям. Их оборот составил в 2017 году 48,5 трлн руб., увеличившись почти на четверть по сравнению с предыдущим годом.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Комментируя итоги года, Антон Купринов, исполнительный директор Фонда содействия кредитованию малого бизнеса Москвы, отметил: «Фонд завершил 2018 год с исторически рекордным результатом — объём выданных нами поручительств составил 14 млрд рублей, а наши партнёры выдали МСП 23 млрд рублей. Портфель фонда достиг почти 20 млрд рублей при капитале в 10 млрд рублей».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«Региональные гарантийные организации (РГО) за период 2015–2018 гг. увеличили объёмные показатели практически в 2 раза, — отметила Наталья Ларионова, заместитель генерального директора АО «Корпорация МСП», — объём гарантийной поддержки вырос с 24,9 млрд руб. в 2015 году до 48 млрд по итогам 2018-го, объём привлеченного финансирования субъектами МСП — с 64,3 до 117,7 млрд рублей. Основной задачей системы РГО на дальнейшую перспективу является сохранение высоких объемов гарантийной поддержки с учетом сохранения гарантийного капитала и его эффективного использования. Важным инструментом повышения эффективности деятельности РГО должна стать разработанная Корпорацией система внутренних рангов, направленная на количественный анализ эффективности и устойчивости РГО, а также повышение доверия к ним со стороны иных участников рынка».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сегодняшний день перед Министерством в первоочередных задачах стоит увеличение доли влияния МСБ в национальном ВВП, — отметил в ходе дискуссии Андрей Тараканов, заместитель директора департамента инновационной политики и развития предпринимательства Минэкономразвития России. — Что же касается изменения самой структуры кредитования, то здесь мы очень надеемся на национальный проект. Совместно с Корпорацией МСП мы уже отобрали 70 крупных банков-участников программы и планируем расширить этот список, так как на наш взгляд, большее число банков-кредиторов — это в потенциале и большее число выданных кредитов, возможность получения льгот и низких процентных ставок. Также мы бы хотели в перспективе разнообразить рынок кредитования МСБ. Сейчас основными кредитными целями для МСБ являются инвестиции, но для нас была бы интересна популяризация облигаций».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стратегическом планировании развития клиентских отношений остановился Сергей Нечушкин, начальник управления развития МСБ Абсолют Банка: «Цифровизация банковского бизнеса — это не дань новым трендам, а объективная реальность. Запуск онлайн-продуктов уже позволил нам на порядок повысить скорость и качество. В частности, запуск онлайн-гарантий привел к сокращению времени рассмотрения заявки с нескольких дней до 20 минут».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«Вопрос доступности или недоступности кредитов для МСБ один из самых актуальных на сегодня», — заметил Александр Молоканов, руководитель по стратегическому развитию Блока «средний и малый бизнес» ПАО «Промсвязьбанк», и резюмировал, что «анализ полученных данных 2018 года показывает, что доступность кредитования увеличилась. И это, безусловно, не только наша заслуга, но и результат верной политики Центрального Банка».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Источник: RAEX, контакты: pr@raex-a.ru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http://garantfund.mos.ru/presscenter/news/detail/7933378.html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9333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9333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2025-07-27T18:43:59Z</dcterms:created>
  <dcterms:modified xsi:type="dcterms:W3CDTF">2025-07-27T18:43:59Z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