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705997aa926e7210f5b51188a3df3dfdf8ffd"/>
    <w:p>
      <w:pPr>
        <w:pStyle w:val="Heading3"/>
      </w:pPr>
      <w:r>
        <w:t xml:space="preserve">Фонд выступил в Технограде на семинаре «Авансы, займы и просрочка»</w:t>
      </w:r>
    </w:p>
    <w:p>
      <w:pPr>
        <w:pStyle w:val="FirstParagraph"/>
      </w:pPr>
      <w:r>
        <w:t xml:space="preserve">14.02.2019</w:t>
      </w:r>
    </w:p>
    <w:p>
      <w:pPr>
        <w:pStyle w:val="BodyText"/>
      </w:pPr>
      <w:r>
        <w:t xml:space="preserve">Финансовые семинары ГБУ МБМ неизменно пользуются спросом со стороны предпринимателей. Очередной семинар этой серии состоялся в лектории Технограда на ВДНХ при организационном участии ЦУБ СВАО. Участниками семинара стали действующие опытные предприниматели, которые желают повысить профессиональные компетенции в финансовых вопросах.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Первая часть семинара была посвящена программам государственной поддержки, воспользоваться которыми предприниматели могут через центры услуг для бизнеса и сервисы mbm.ru. Представитель ЦУБ СВАО Ветошников Дмитрий предложил предпринимателям пользоваться обучающими мероприятиями, консультациями по налоговому и бухучету, другими услугами, которые предоставляются на бесплатной основе. Также участников познакомили с мерами имущественной и финансовой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 о программе гарантийной поддержки рассказала Татьяна Репина из Фонда содействия кредитованию малого бизнеса Москвы, пояснив порядок работы с фондом, критерии и требования. Воспользоваться гарантийной поддержкой могут компании практически любых отраслей, исправно платящие налоги, с положительными фин.результами и деловой репутацией. Поручительства фонда закрывают риск на 70%, партнерами фонда выступают до 80 кредитных организаций. Заявка можно подать через кредиторов, непосредственно в фонд или через ЦУБы.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второй части семинара Виктор Иванов из ООО «Правовые и Бухгалтерские Услуги» обучил участников инструментам проверок контрагентов на платежеспособность, дал рекомендации по оформлению займа, личного поручительства, обеспечительного платежа, залога, познакомил с процедурами и необходимыми шагами при возникновении просрочек, споров, долгов.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Семинар носил прикладной характер, все участники получили необходимые контакты. Планы семинаров по финансовой проблематике и другим аспектам бизнеса публикуются на портале mbm.ru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http://garantfund.mos.ru/presscenter/news/detail/7887297.html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887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887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2025-07-27T18:44:22Z</dcterms:created>
  <dcterms:modified xsi:type="dcterms:W3CDTF">2025-07-27T18:44:22Z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