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1c8978ee1e95d9e2eb79c9db41f73d69d179c"/>
    <w:p>
      <w:pPr>
        <w:pStyle w:val="Heading3"/>
      </w:pPr>
      <w:r>
        <w:t xml:space="preserve">В Москве реализован «пилот» по факторингу с гарантийной поддержкой для ИТ-компании</w:t>
      </w:r>
    </w:p>
    <w:p>
      <w:pPr>
        <w:pStyle w:val="FirstParagraph"/>
      </w:pPr>
      <w:r>
        <w:t xml:space="preserve">28.01.2019</w:t>
      </w:r>
    </w:p>
    <w:p>
      <w:pPr>
        <w:pStyle w:val="BodyText"/>
      </w:pPr>
      <w:r>
        <w:t xml:space="preserve">Фонд содействия кредитованию малого бизнеса Москвы (Московский гарантийный фонд) и КБ «Нэклис-Банк» подписали первый договор поручительства в рамках пилотной сделки банка по реализации услуг факторинга. Московский гарантийный фонд обеспечивает банку регрессные обязательства организации, которая осуществляет деятельность в сфере информационных технологий (ИТ) и уступает банку-фактору права денежного требования к заказчикам.</w:t>
      </w:r>
      <w:r>
        <w:br/>
      </w:r>
      <w:r>
        <w:br/>
      </w:r>
      <w:r>
        <w:t xml:space="preserve">Механизм поручительства по операциям факторинга Московского гарантийного фонда позволяет малым и средним предприятиям Москвы использовать ликвидную дебиторскую задолженность в качестве инструмента оперативного привлечения финансирования своей хозяйственной деятельности. Поручительство покрывает до 70% от объема факторинговой операции, но не свыше 100 млн рублей.</w:t>
      </w:r>
      <w:r>
        <w:br/>
      </w:r>
      <w:r>
        <w:br/>
      </w:r>
      <w:r>
        <w:t xml:space="preserve">«Московский гарантийный фонд впервые предоставил поручительство по факторингу. Данный вид господдержки запущен в «пилотном» режиме в конце 2018 г.: поручительство фонда закрывает риск неисполнения условий платежа по сделке. Обычно факторинг применяется в торговых операциях при поставках товаров для TOP100 сетей-покупателей. Но «пилотное» поручительство гарантийного фонда показало - схему факторинга можно не только расширить на компании малого бизнеса, но и эффективно использовать для финансирования высокотехнологичных ИТ-компаний», - прокомментировал «пилот» Исполнительный директор Фонда Антон Купринов.  </w:t>
      </w:r>
      <w:r>
        <w:br/>
      </w:r>
      <w:r>
        <w:br/>
      </w:r>
      <w:r>
        <w:t xml:space="preserve">Наталья Касперская, Председатель Правления Ассоциации разработчиков программных продуктов «Отечественный софт» пояснила: «Исторически сложилось, что российские ИТ-компании развивались полностью на собственные средства в силу высокой динамики роста рынка. При этом возможности привлечения долгосрочного заемного финансирования для предприятий сферы ИТ довольно ограничены. С учетом новых вызовов по переходу к цифровой экономике и созданию прорывных отечественных технологий, российским разработчикам потребуются дополнительные финансовые инструменты. Новая программа Московского гарантийного фонда по факторингу расширяет возможности ИТ-компаний Москвы для развития собственного бизнеса за счет привлечения дополнительных оборотных средств».</w:t>
      </w:r>
      <w:r>
        <w:br/>
      </w:r>
      <w:r>
        <w:br/>
      </w:r>
      <w:r>
        <w:t xml:space="preserve">«Поручительство по факторингу позволяет снизить риски и решает задачу полноценного финансирования компаний МСП из ИТ-сектора, в условиях нехватки у последних собственных залогов для классического кредитования. Банки заинтересованы в сотрудничестве с Фондом по данной программе в целях наращивания финансирования ИТ-предприятий, в том числе и из высокотехнологичных кластеров города Москвы», - дополнил  Василий Кузьменко, Председатель Совета Директоров КБ «Нэклис-Банк».</w:t>
      </w:r>
      <w:r>
        <w:br/>
      </w:r>
      <w:r>
        <w:br/>
      </w:r>
      <w:r>
        <w:t xml:space="preserve">Предприниматели могут направить заявку для получения «поручительства по факторингу» на электронный адрес фонда</w:t>
      </w:r>
      <w:r>
        <w:t xml:space="preserve"> </w:t>
      </w:r>
      <w:hyperlink r:id="rId20">
        <w:r>
          <w:rPr>
            <w:rStyle w:val="Hyperlink"/>
          </w:rPr>
          <w:t xml:space="preserve">info@mosgarantfund.ru</w:t>
        </w:r>
      </w:hyperlink>
      <w:r>
        <w:t xml:space="preserve">  и в Центры услуг для бизнеса в округах Москвы.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http://garantfund.mos.ru/presscenter/news/detail/7849262.html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849262.html" TargetMode="External" /><Relationship Type="http://schemas.openxmlformats.org/officeDocument/2006/relationships/hyperlink" Id="rId20" Target="mailto:info@mosgarantfun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849262.html" TargetMode="External" /><Relationship Type="http://schemas.openxmlformats.org/officeDocument/2006/relationships/hyperlink" Id="rId20" Target="mailto:info@mosgarantfun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2025-07-27T18:45:02Z</dcterms:created>
  <dcterms:modified xsi:type="dcterms:W3CDTF">2025-07-27T18:45:02Z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