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a91f537f676535d382fc3ed45ae8fbd1ee2d8"/>
    <w:p>
      <w:pPr>
        <w:pStyle w:val="Heading3"/>
      </w:pPr>
      <w:r>
        <w:t xml:space="preserve">Фонд выступил на XVI Региональном инвестиционном конгрессе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14 декабря в Москве Swissotel Krasnye Holmy состоялся XVI Региональный инвестиционный конгресс, организованный агентством RAEX (РАЭКС-Аналитика). На нем представители территориальных администраций, объединений иностранных инвесторов и экспертного сообщества обсудили меры по улучшению инвестклимата в регионах России и потенциал совместного участия власти и бизнеса в реализации приоритетных национальных проектов.</w:t>
      </w:r>
      <w:r>
        <w:br/>
      </w:r>
      <w:r>
        <w:br/>
      </w:r>
      <w:r>
        <w:t xml:space="preserve">Центральное событие Конгресса – объявление результатов Рейтинга инвестиционной привлекательности регионов. Рейтинг ежегодно публикуется с 1996-го, за 20 лет стал наиболее авторитетным индикатором изменений инвестиционного климата субъектов Российской Федерации.</w:t>
      </w:r>
      <w:r>
        <w:br/>
      </w:r>
      <w:r>
        <w:br/>
      </w:r>
      <w:r>
        <w:t xml:space="preserve">Российский региональный конгресс – признанная экспертная площадка для обсуждения проблем регионального развития и обмена практическим опытом в сфере улучшения инвестиционного климата. Среди целей конгресса - обмен опытом и координацию действий региональной, федеральной власти и инвесторов.</w:t>
      </w:r>
      <w:r>
        <w:br/>
      </w:r>
      <w:r>
        <w:br/>
      </w:r>
      <w:r>
        <w:t xml:space="preserve">Итоговое улучшение показателя интегрального риска – заслуга преимущественно крупных регионов с диверсифицированной экономикой. Среди первой десятки лидеров по инвестпотенциалу снижение или как минимум стабилизация рисков наблюдается в 7 регионах. Но и для них, и для отстающих территорий серьезным ограничителем роста остаются доходы населения, которые падали 4 года подряд и лишь во второй половине 2018 года вышли на неустойчивый рост.</w:t>
      </w:r>
      <w:r>
        <w:br/>
      </w:r>
      <w:r>
        <w:br/>
      </w:r>
      <w:r>
        <w:t xml:space="preserve">Рейтинг показал продолжение постепенного снижения инвестиционных рисков, отмеченное по итогам прошлогоднего исследования. Главный фактор снижения рисков – масштаб и диверсификация экономики региона. Интегральный инвестиционный риск и практически все его составляющие (за исключением управленческого риска) снижаются второй год подряд. Однако доля регионов с падением инвестиций все еще остается весьма значительной.</w:t>
      </w:r>
      <w:r>
        <w:br/>
      </w:r>
      <w:r>
        <w:br/>
      </w:r>
      <w:r>
        <w:t xml:space="preserve">Рейтингом зафиксирован трехкратный разрыв между регионами с минимальным и максимальным уровнями инвестриска, и этот разрыв в последние 2 года увеличивается. Для его сокращения Минэкономразвития разработало стратегию пространственного развития России, которая предполагает формирование 14 макрорегионов, чей состав не совпадает с составом федеральных округов.Для ужесточения контроля за расходованием на местах федеральных перечислений и повышения эффективности их использования Минфин разработал и уже внедряет принцип модельного бюджета при распределении межбюджетных трансфертов из федеральной казны.</w:t>
      </w:r>
      <w:r>
        <w:br/>
      </w:r>
      <w:r>
        <w:br/>
      </w:r>
      <w:r>
        <w:t xml:space="preserve">В Конгрессе участвовали руководители федеральных органов власти, в том числе Министерства экономического развития, региональных правительств, представители институтов развития, иностранных инвесторов, бизнес-ассоциаций, финансовых и инвестиционных структур, промышленных компаний, смежных отраслей (консультанты, ИТ, аудиторы), СМИ. Всего более 200 делегатов.</w:t>
      </w:r>
      <w:r>
        <w:br/>
      </w:r>
      <w:r>
        <w:br/>
      </w:r>
      <w:r>
        <w:t xml:space="preserve">От Москвы на Конгрессе выступили представители Городского агентства управления инвестициями и Московского гарантийного фонда.</w:t>
      </w:r>
      <w:r>
        <w:br/>
      </w:r>
      <w:r>
        <w:br/>
      </w:r>
      <w:r>
        <w:t xml:space="preserve">XVI Региональный инвестиционный конгресс завершился церемонией награждения региональных администраций по итогам рейтинга.</w:t>
      </w:r>
      <w:r>
        <w:br/>
      </w:r>
      <w:r>
        <w:br/>
      </w:r>
      <w:r>
        <w:t xml:space="preserve">Модератором Конгресса выступил Гришанков Дмитрий Эдуардович, Генеральный директор «РАЭКС-Аналитика», президент Рейтингового агентства «Эксперт РА»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http://garantfund.mos.ru/presscenter/news/detail/7792269.html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92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92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2025-07-27T18:44:28Z</dcterms:created>
  <dcterms:modified xsi:type="dcterms:W3CDTF">2025-07-27T18:44:28Z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