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ce3ac9853488e952f2ac4b9a9b6da8035e4ad"/>
    <w:p>
      <w:pPr>
        <w:pStyle w:val="Heading3"/>
      </w:pPr>
      <w:r>
        <w:t xml:space="preserve">Финансирование МСП обсудили профессионалы лизинговой отрасли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t xml:space="preserve">На XVII Ежегодной конференции «Лизинг в России – 2018» обсуждали препятствия и драйверы роста лизингового рынка на фоне поэтапного введения регулирования. По данным RAEX объем бизнеса TOP100 лизинговых компаний России за 9 месяцев 2018 года вырос почти на 45% и достиг рекорда в 970 млрд рублей.</w:t>
      </w:r>
      <w:r>
        <w:br/>
      </w:r>
      <w:r>
        <w:br/>
      </w:r>
      <w:r>
        <w:t xml:space="preserve">Традиционно лизинг применяется в сделках с авиационной, железнодорожной, транспортной техникой, автомобилями. В этом сегменте сосредоточен интерес крупных игроков с госучастием, работают госпрограммы поддержки бизнеса через инструменты льготного лизинга: Минпромторга, Фонда развития промышленности, госзакупки по 44ФЗ и 223ФЗ.</w:t>
      </w:r>
      <w:r>
        <w:br/>
      </w:r>
      <w:r>
        <w:br/>
      </w:r>
      <w:r>
        <w:t xml:space="preserve">Доля новых сделок с крупным бизнесом увеличивается третий год подряд и превысила 50%, а доля малого и среднего постепенно снижается. Кроме того, концентрация на рынке лизинга становится сильнее, доля компаний с госучастием растет: доля TOP3 превышает 48% в совокупном объеме нового бизнеса. Обладая дешевым фондированием крупные игроки конкурируют с частными лизинговыми компаниями за хорошего клиента. В таких условиях частные лизинговые компании наращивают свое внимание к сегменту МСП.</w:t>
      </w:r>
      <w:r>
        <w:br/>
      </w:r>
      <w:r>
        <w:br/>
      </w:r>
      <w:r>
        <w:t xml:space="preserve">Среди источников внешнего  финансирования малого бизнеса лизинг занимает второе место после кредитов по данным многочисленных опросов предпринимателей.</w:t>
      </w:r>
      <w:r>
        <w:br/>
      </w:r>
      <w:r>
        <w:br/>
      </w:r>
      <w:r>
        <w:t xml:space="preserve">Лизинговые компании заявляют об интересе  к работе с сегментом МСП. Так, генеральный директор ООО «Балтийский лизинг» Дмитрий Корчагов подчеркнул, что 92%  его клиентов можно отнести к МСП, они приобретают дорожную, строительную технику, спецтехнику по программе субсидирования Минпромторга, сельхозтехнику, легковые авто, микроавтобусы. Ряд лизинговых компаний предлагают специальные продукты по автолизингу для малого и среднего бизнеса.</w:t>
      </w:r>
      <w:r>
        <w:br/>
      </w:r>
      <w:r>
        <w:br/>
      </w:r>
      <w:r>
        <w:t xml:space="preserve">Если с лизингом транспортных средств и техники дела обстоят неплохо, то в сегменте приобретения высокотехнологического и уникального оборудования лизингодателей смущает специфика, трудность оценки, высокие риски. Ведь специализированный актив быстро устаревает, характеризуется низкой ликвидностью, поэтому лизинговые компании неохотно включаются в подобные сделки. Нередко именно такое оборудование требуется приобрести малым компаниям. При этом высокий спрос на высокотехнологичное специализированное оборудование может стать в ближайшей перспективе одним из драйверов роста.</w:t>
      </w:r>
      <w:r>
        <w:br/>
      </w:r>
      <w:r>
        <w:br/>
      </w:r>
      <w:r>
        <w:t xml:space="preserve">Механизм государственной гарантийной поддержки может быть использован в сделках по лизингу убежден Антон Купринов, исполнительный директор Фонда содействия кредитованию малого бизнеса Москвы, где запущен продукт – поручительство по лизингу, который позволяет закрыть риск в сделках с неликвидным оборудованием. «Поручительство позволило нашим клиентам приобрести, например, оборудование для опытных разработок в Баумановском университете и особые печатные машины для полиграфии. Без участия фонда это было бы сложнее», - сказал Купринов.</w:t>
      </w:r>
      <w:r>
        <w:br/>
      </w:r>
      <w:r>
        <w:br/>
      </w:r>
      <w:r>
        <w:br/>
      </w:r>
      <w:r>
        <w:t xml:space="preserve">Пресс-служба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http://garantfund.mos.ru/presscenter/news/detail/7762234.html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62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62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2025-07-27T18:44:47Z</dcterms:created>
  <dcterms:modified xsi:type="dcterms:W3CDTF">2025-07-27T18:44:47Z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