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689af301404a82e89f387b4d2133e9b7d347e8"/>
    <w:p>
      <w:pPr>
        <w:pStyle w:val="Heading3"/>
      </w:pPr>
      <w:r>
        <w:t xml:space="preserve">Фонд участвовал в вебинаре для женщин-предпринимательниц, участниц проекта Lady007</w:t>
      </w:r>
    </w:p>
    <w:p>
      <w:pPr>
        <w:pStyle w:val="FirstParagraph"/>
      </w:pPr>
      <w:r>
        <w:t xml:space="preserve">10.12.2018</w:t>
      </w:r>
    </w:p>
    <w:p>
      <w:pPr>
        <w:pStyle w:val="BodyText"/>
      </w:pPr>
      <w:r>
        <w:t xml:space="preserve">Вебинар состоялся 26 ноября 2018г. под эгидой Департамента предпринимательства и инновационного развития города Москвы.</w:t>
      </w:r>
      <w:r>
        <w:br/>
      </w:r>
      <w:r>
        <w:br/>
      </w:r>
      <w:r>
        <w:t xml:space="preserve">Идейный вдохновитель проекта Lady007 Оксана Кухарчук провела вебинар в формате интервью. Со стороны Московского гарантийного фонда в вебинаре участвовали: Антон Купринов, исполнительный директор и Анастасия Сергеева, заместитель исполнительного директора.</w:t>
      </w:r>
      <w:r>
        <w:br/>
      </w:r>
      <w:r>
        <w:br/>
      </w:r>
      <w:r>
        <w:t xml:space="preserve">«На текущий момент на программе Lady007 зарегистрировались 6000 женщин-предпринимательниц из разных регионов страны, больше половины из Москвы. Целевая аудитория программы – женщины 25-40+. К обучению предпринимательниц мы привлекаем экспертов-волонтеров, с нами сотрудничает уже 150 таких экспертов, которые готовы поделиться знаниями и опытом по самым разным вопросам ведения бизнеса. Финансы – это ключевая проблема, с которой сталкиваются предприниматели, поэтому неслучайно, сегодня мы проводим семинар в Московском гарантийном фонде», - комментирует событие основательница проекта Lady007 Оксана Кухарчук.</w:t>
      </w:r>
      <w:r>
        <w:br/>
      </w:r>
      <w:r>
        <w:br/>
      </w:r>
      <w:r>
        <w:t xml:space="preserve">На вебинаре участницы получили ответы на широкий круг вопросов, касающихся финансирования бизнеса, в том числе:</w:t>
      </w:r>
      <w:r>
        <w:br/>
      </w:r>
      <w:r>
        <w:br/>
      </w:r>
      <w:r>
        <w:t xml:space="preserve">- Каким отраслям помогает гарантийный фонд?</w:t>
      </w:r>
      <w:r>
        <w:br/>
      </w:r>
      <w:r>
        <w:t xml:space="preserve">- Есть ли гарантийная поддержка в регионах?</w:t>
      </w:r>
      <w:r>
        <w:br/>
      </w:r>
      <w:r>
        <w:t xml:space="preserve">- Каков порядок и схема подачи документов в фонд: что нужно сделать конкретно?</w:t>
      </w:r>
      <w:r>
        <w:br/>
      </w:r>
      <w:r>
        <w:t xml:space="preserve">- Что банк потребует в залог?</w:t>
      </w:r>
      <w:r>
        <w:br/>
      </w:r>
      <w:r>
        <w:t xml:space="preserve">- Что произойдет, если предприниматель не смог расплатиться по кредиту?</w:t>
      </w:r>
      <w:r>
        <w:br/>
      </w:r>
      <w:r>
        <w:br/>
      </w:r>
      <w:r>
        <w:t xml:space="preserve">Запись вебинара доступна по ссылке:</w:t>
      </w:r>
      <w:r>
        <w:t xml:space="preserve"> </w:t>
      </w:r>
      <w:hyperlink r:id="rId20">
        <w:r>
          <w:rPr>
            <w:rStyle w:val="Hyperlink"/>
          </w:rPr>
          <w:t xml:space="preserve">https://vimeo.com/302829667/8153f38965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http://garantfund.mos.ru/presscenter/news/detail/7753131.html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753131.html" TargetMode="External" /><Relationship Type="http://schemas.openxmlformats.org/officeDocument/2006/relationships/hyperlink" Id="rId20" Target="https://vimeo.com/302829667/8153f389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753131.html" TargetMode="External" /><Relationship Type="http://schemas.openxmlformats.org/officeDocument/2006/relationships/hyperlink" Id="rId20" Target="https://vimeo.com/302829667/8153f389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2025-05-19T20:03:34Z</dcterms:created>
  <dcterms:modified xsi:type="dcterms:W3CDTF">2025-05-19T20:03:34Z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