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31a6913ae2199982c7f77b8636939084afa5c"/>
    <w:p>
      <w:pPr>
        <w:pStyle w:val="Heading3"/>
      </w:pPr>
      <w:r>
        <w:t xml:space="preserve">Резидентов технопарка «Строгино» познакомили с финансовыми продуктами фондов поддержки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14.11.2018 Московский фонд поддержки промышленности и предпринимательства (МФППиП) и Фонд содействия кредитованию малого бизнеса Москвы (ФСКМБМ)  продолжили знакомить резидентов технопарков с программами государственной финансовой поддержки. На этот раз встреча предпринимателей с  фондами прошла в технопарке «Строгино».</w:t>
      </w:r>
      <w:r>
        <w:br/>
      </w:r>
      <w:r>
        <w:br/>
      </w:r>
      <w:r>
        <w:t xml:space="preserve">Первая часть мероприятия состоялась в формате презентаций, которые провели от Андрей Мясников -  начальник отдела по работе с клиентами МФППиП и Татьяна Репина - директор по общественным связям ФСКМБМ.</w:t>
      </w:r>
      <w:r>
        <w:br/>
      </w:r>
      <w:r>
        <w:br/>
      </w:r>
      <w:r>
        <w:t xml:space="preserve">Наиболее льготные условия МФППиП предлагает резидентам технопарков – инвестиционные целевые займы сроком до 5 лет, объемом 10-50 млн рублей по ставке 2% годовых. Также внимание собравшихся было обращено на программу для действующих и будущих экспортеров, по которой МФППиП выдает займы под 5% годовых. В качестве обеспечения по льготным займам можно использовать поручительства ФСКМБМ. Гарантийное покрытие до 70%, но не свыше 100 млн рублей ФСКМБМ предлагает по ставке 0,75% годовых. Также участников познакомили с пилотными поручительствами по лизингу, факторингу, аккредитивам.</w:t>
      </w:r>
      <w:r>
        <w:br/>
      </w:r>
      <w:r>
        <w:br/>
      </w:r>
      <w:r>
        <w:t xml:space="preserve">Среди участников мероприятия были представители действующего бизнеса: компаний производящих изделия и продукцию медицинского назначения, занимающиеся разработками и  производством высокотехнологичных современных средств связи, IT-компании, разработчики приборов и устройств и другие.</w:t>
      </w:r>
      <w:r>
        <w:br/>
      </w:r>
      <w:r>
        <w:br/>
      </w:r>
      <w:r>
        <w:t xml:space="preserve">Участников интересовали как общие схемы работы с фондами, так и детали, и подходы при оценке и анализе проектов. В частности, возникли вопросы по разнице в документах официальной и управленческой отчетности, по времени фактической регистрации и начала реальной деятельности компаний, по особенностям дисконтирования залогов.</w:t>
      </w:r>
      <w:r>
        <w:br/>
      </w:r>
      <w:r>
        <w:br/>
      </w:r>
      <w:r>
        <w:t xml:space="preserve">По завершении семинара состоялся визит представителей фондов на производственную площадку компании «Интехсвязь», где тестируются и производятся современные приборы и средства связи. «Мы планируем дальнейшее развитие с привлечением заемного финансирования и заинтересована в работе с фондами, тем более что есть возможность не только получить льготный заем, но и использовать поручительство для его обеспечения», - сказал Андрей Кобецкий  финансовый директор Интехсвязь.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http://garantfund.mos.ru/presscenter/news/detail/7698822.html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8822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8822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2025-05-19T20:03:30Z</dcterms:created>
  <dcterms:modified xsi:type="dcterms:W3CDTF">2025-05-19T20:03:30Z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