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90a2b321e06cf76dc964bad7b2052ee45a7d4"/>
    <w:p>
      <w:pPr>
        <w:pStyle w:val="Heading3"/>
      </w:pPr>
      <w:r>
        <w:t xml:space="preserve">Серия мероприятий #МоскваДляБизнеса продолжает знакомить предпринимателей с возможностями финансового развития.</w:t>
      </w:r>
    </w:p>
    <w:p>
      <w:pPr>
        <w:pStyle w:val="FirstParagraph"/>
      </w:pPr>
      <w:r>
        <w:t xml:space="preserve">06.11.2018</w:t>
      </w:r>
    </w:p>
    <w:p>
      <w:pPr>
        <w:pStyle w:val="BodyText"/>
      </w:pPr>
      <w:r>
        <w:t xml:space="preserve">31.10.2018 г. Очередная практическая конференция «Финансы для развития бизнеса» из серии «МоскваДляБизнеса» состоялась  в Meeting point отеля Four Seasons, организаторами выступили ГБУ «Малый бизнес Москвы» и Штаб по защите бизнеса. В конференции участвовали 120 предпринимателей.</w:t>
      </w:r>
      <w:r>
        <w:br/>
      </w:r>
      <w:r>
        <w:br/>
      </w:r>
      <w:r>
        <w:t xml:space="preserve">Информацию о действующих мерах поддержки предпринимателей в Москве представил Юрий Кулагин, начальник отдела финподдержки ГБУ МБМ. В округах работают центры услуг для бизнеса, где на бесплатной основе предпринимателей консультируют по юридическим, организационным вопросам; через on-line сервисы можно оставить заявки на подбор помещения, на регистрацию бизнеса, на заполнение форм УСН. Специальные субсидии предлагаются резидентам технопарков, экспортерам, участникам выставок.</w:t>
      </w:r>
      <w:r>
        <w:br/>
      </w:r>
      <w:r>
        <w:br/>
      </w:r>
      <w:r>
        <w:t xml:space="preserve">КРЕДИТЫ, ЛЬГОТНЫЕ ЗАЙМЫ</w:t>
      </w:r>
      <w:r>
        <w:br/>
      </w:r>
      <w:r>
        <w:br/>
      </w:r>
      <w:r>
        <w:t xml:space="preserve">Тему заемного финансирования МСП открыл Вадим Колпастиков, территориальный менеджер управления продаж малому бизнесу Сбербанка, который познакомил участников с подходами крупнейшего банка страны к финансированию предприятий с оборотами менее 800 млн рублей.</w:t>
      </w:r>
      <w:r>
        <w:br/>
      </w:r>
      <w:r>
        <w:br/>
      </w:r>
      <w:r>
        <w:t xml:space="preserve">О программе гарантийной поддержки рассказала Татьяна Репина, директор по общественным связям Фонда содействия кредитованию малого бизнеса Москвы. Фонд работает в партнерство с 70-ю кредиторами, помогает привлечь внешнее заемное финансирование в случае нехватки у предпринимателей собственного обеспечения (залога). Поручительство покрывает до 70% привлекаемого кредита, но не свыше 100 млн рублей. Фонд в пилотном режиме выдает поручительства по лизингу, факторингу, аккредитивам. За 9 месяцев 2018 г. под поручительства Фонда предприниматели получили у кредиторов 16,9 млрд рублей.</w:t>
      </w:r>
      <w:r>
        <w:br/>
      </w:r>
      <w:r>
        <w:br/>
      </w:r>
      <w:r>
        <w:t xml:space="preserve">Сессию вопросов и ответов по практическим задачам подготовки малых компаний к поиску внешнего финансирования провел директор по рискам Фонда содействия кредитованию малого бизнеса Москвы Владимир Козлов, который вооружил предпринимателей информацией об открытых источниках и базах, которые обычно используют кредиторы при принятии решения.</w:t>
      </w:r>
      <w:r>
        <w:br/>
      </w:r>
      <w:r>
        <w:br/>
      </w:r>
      <w:r>
        <w:t xml:space="preserve">Генеральный директор Московского Фонда поддержки промышленности и предпринимательства Михаил Лопухов выступил с презентацией по продуктам Фонда, озвучив возможности получения льготного финансирования от Фонда для резидентов технопарков, IT и научных компаний, для действующих и будущих экспортеров сроком до 5 лет по ставке от 2% до 5% годовых, в том числе и по продукту Фонда - «Экспорт», ориентированный для промышленных предприятий Москвы с долей экспорта в выручке более 1%.</w:t>
      </w:r>
      <w:r>
        <w:br/>
      </w:r>
      <w:r>
        <w:br/>
      </w:r>
      <w:r>
        <w:t xml:space="preserve">ГОСЗАКАЗ</w:t>
      </w:r>
      <w:r>
        <w:br/>
      </w:r>
      <w:r>
        <w:br/>
      </w:r>
      <w:r>
        <w:t xml:space="preserve">Один из рычагов развития малого предпринимательства – госзаказ. В Москве для закупок малого объема до 100 тыс. рублей специально создан Портал поставщиков, который выступает витриной городского заказа. Александр Старокадомский, начальник отдела по работе с производителями и поставщиками ГБУ г.Москвы «Сервисный центр 44». На портале можно получить информацию о всех городских закупках, если это закупка большого объема, то указывается ссылка на соответствующую электронную площадку. За последнее время к Порталу поставщиков присоединился целый ряд других регионов. Здесь уже зарегистрировано 120 тысяч поставщиков, которые размещают оферты, участвуют в котировочных сессиях. Победитель и заказчик заключают контракт при помощи цифровой электронной подписи. В ближайшее время будет запущен единый для всех проект контракта и несколько удобных сервисов, которые повысят качество работы портала. С начала 2018 г. проведено 42 тысячи котировочных сессий, контракты заключены на 4 млрд рублей. В помощь предпринимателям работает обучающий курс «Я – поставщик Москвы».</w:t>
      </w:r>
      <w:r>
        <w:br/>
      </w:r>
      <w:r>
        <w:br/>
      </w:r>
      <w:r>
        <w:t xml:space="preserve">ВЕНЧУРНОЕ ФИНАНСИРОВАНИЕ</w:t>
      </w:r>
      <w:r>
        <w:br/>
      </w:r>
      <w:r>
        <w:br/>
      </w:r>
      <w:r>
        <w:t xml:space="preserve">Директор по развитию Фонда содействия развитию венчурных инвестиций в малые предприятия в научно-технической сфере города Москвы Алексей Медведев рассказал о схеме посевного инвестирования для начинающих предприятий на условиях привлечения в проект средств аккредитованного со-инвестора. Сумма займа фонда до 36 млн рублей под залог доли в проекте. Со-инвестор вкладывает от 50 до 200% от суммы займа. С фондом работает 61 со-инвестор, выданы заемные средства на 401 млн рублей.</w:t>
      </w:r>
      <w:r>
        <w:br/>
      </w:r>
      <w:r>
        <w:br/>
      </w:r>
      <w:r>
        <w:t xml:space="preserve">ФАКТОРИНГ</w:t>
      </w:r>
      <w:r>
        <w:br/>
      </w:r>
      <w:r>
        <w:br/>
      </w:r>
      <w:r>
        <w:t xml:space="preserve">Преимущества факторинга перед традиционным финансированием пояснил Станислав Боярский, главный менеджер управления по работе с ключевыми партнерами ООО «Открытие Факторинг». Беззалоговое финансирование поставщика  товаров или услуг под уступку  дебиторской задолженности набирает обороты. Объем рынка в 1 полугодии 2018 превысил 1 млрд рублей, а количество поставок по факторингу более 5 млн шт. (на 30-40% лучше 1 полугодия 2017) . Факторинг помогает увеличить оборотный капитал поставщика товаров или услуг, нарастить объем продаж, ликвидировать кассовые разрывы.</w:t>
      </w:r>
      <w:r>
        <w:br/>
      </w:r>
      <w:r>
        <w:br/>
      </w:r>
      <w:r>
        <w:t xml:space="preserve">Участники получили ответы на интересующие их дополнительные вопросы, спикеры предоставили координаты для дальнейшего взаимодействия.</w:t>
      </w:r>
      <w:r>
        <w:br/>
      </w:r>
      <w:r>
        <w:br/>
      </w:r>
      <w:r>
        <w:br/>
      </w:r>
      <w:r>
        <w:br/>
      </w:r>
      <w:r>
        <w:t xml:space="preserve">Пресс-служба ФСКМБМ,</w:t>
      </w:r>
      <w:r>
        <w:t xml:space="preserve"> </w:t>
      </w:r>
      <w:hyperlink r:id="rId20">
        <w:r>
          <w:rPr>
            <w:rStyle w:val="Hyperlink"/>
          </w:rPr>
          <w:t xml:space="preserve">repina@mosgarantfund.ru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http://garantfund.mos.ru/presscenter/news/detail/7679998.html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79998.html" TargetMode="External" /><Relationship Type="http://schemas.openxmlformats.org/officeDocument/2006/relationships/hyperlink" Id="rId20" Target="mailto:repina@mosgarantfun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arantfund.mos.ru" TargetMode="External" /><Relationship Type="http://schemas.openxmlformats.org/officeDocument/2006/relationships/hyperlink" Id="rId21" Target="http://garantfund.mos.ru/presscenter/news/detail/7679998.html" TargetMode="External" /><Relationship Type="http://schemas.openxmlformats.org/officeDocument/2006/relationships/hyperlink" Id="rId20" Target="mailto:repina@mosgarantfun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2025-05-19T20:03:45Z</dcterms:created>
  <dcterms:modified xsi:type="dcterms:W3CDTF">2025-05-19T20:03:45Z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