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95f83b4c3cc3531aa6c8f2af7a197cc0e191f"/>
    <w:p>
      <w:pPr>
        <w:pStyle w:val="Heading3"/>
      </w:pPr>
      <w:r>
        <w:t xml:space="preserve">Фонд участвовал в работе Московского международного форума «Открытые инновации»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r>
        <w:t xml:space="preserve">В рамках работы стенда Правительства Москвы на Московском международном форуме «Открытые инновации – 2018» в Сколково состоялась специальная акция «Открытая Москва», в которой приняли участие руководители городских структур и организаций инфраструктуры поддержки бизнеса.</w:t>
      </w:r>
      <w:r>
        <w:br/>
      </w:r>
      <w:r>
        <w:br/>
      </w:r>
      <w:r>
        <w:t xml:space="preserve">Целью акции стал свободный диалог представителей власти с предпринимательской общественностью. Десятки предпринимателей-участников форума могли в неформальной обстановке задать вопросы представителям экономического и социального блоков Правительства Москвы.</w:t>
      </w:r>
      <w:r>
        <w:br/>
      </w:r>
      <w:r>
        <w:br/>
      </w:r>
      <w:r>
        <w:t xml:space="preserve">На стенде Правительства Москвы на акции «Открытая Москва» на вопросы отвечали руководители департаментов предпринимательства и инновационного развития, конкурентной политики, торговли и услуг, информационных технологий,  торговли и услуг, здравоохранения. Также во встречах приняли участие руководители городских организаций инфраструктуры  поддержки бизнеса, в том числе Агентства инноваций, Экспортного центра, Особой экономической зоны, Фонда содействия кредитованию малого бизнеса Москвы, Фонда содействия развитию венчурных инвестиций в малые предприятия в научно-технической сфере.</w:t>
      </w:r>
      <w:r>
        <w:br/>
      </w:r>
      <w:r>
        <w:br/>
      </w:r>
      <w:r>
        <w:t xml:space="preserve">Исполнительный директор Фонда содействия кредитованию малого бизнеса Москвы Антон Купринов так прокомментировал событие: «Наш фонд всегда с внимание и интересом относится к проектам с научно-технической, инновационной составляющей. Наукоемким высокотехнологичным производствам, IT компаниям тяжело найти финансирование, у них обычно нет собственных залогов для кредиторов, поэтому гарантийная поддержка для таких заемщиков особенно актуальна@.</w:t>
      </w:r>
      <w:r>
        <w:br/>
      </w:r>
      <w:r>
        <w:br/>
      </w:r>
      <w:r>
        <w:t xml:space="preserve">Среди инновационных компаний, кому Фонд оказал поддержку и помог в развитии есть производители микроэлектронных, медицинских изделий, беспилотных аппаратов, химических реагентов для ДНК-анализов, авиационных деталей, инновационных продуктов питания и многого другого. Нередко такие заемщики участвуют в поставках в государственные корпорации, работают в сфере импортозамещения, многие локализованы в московских технопарках.</w:t>
      </w:r>
      <w:r>
        <w:br/>
      </w:r>
      <w:r>
        <w:br/>
      </w:r>
      <w:r>
        <w:br/>
      </w:r>
      <w:r>
        <w:t xml:space="preserve">Пресс-служба ФСКМБМ,</w:t>
      </w:r>
      <w:r>
        <w:t xml:space="preserve"> </w:t>
      </w:r>
      <w:hyperlink r:id="rId20">
        <w:r>
          <w:rPr>
            <w:rStyle w:val="Hyperlink"/>
          </w:rPr>
          <w:t xml:space="preserve">repina@mosgarntfund.ru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http://garantfund.mos.ru/presscenter/news/detail/7645730.html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645730.html" TargetMode="External" /><Relationship Type="http://schemas.openxmlformats.org/officeDocument/2006/relationships/hyperlink" Id="rId20" Target="mailto:repina@mosgar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645730.html" TargetMode="External" /><Relationship Type="http://schemas.openxmlformats.org/officeDocument/2006/relationships/hyperlink" Id="rId20" Target="mailto:repina@mosgar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2025-05-19T20:04:08Z</dcterms:created>
  <dcterms:modified xsi:type="dcterms:W3CDTF">2025-05-19T20:04:08Z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