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c2fc51da526729fc1de499a4b0e3cdeb63cae4"/>
    <w:p>
      <w:pPr>
        <w:pStyle w:val="Heading3"/>
      </w:pPr>
      <w:r>
        <w:t xml:space="preserve">Финансовые инструменты представили предпринимателям в Зеленограде</w:t>
      </w:r>
    </w:p>
    <w:p>
      <w:pPr>
        <w:pStyle w:val="FirstParagraph"/>
      </w:pPr>
      <w:r>
        <w:t xml:space="preserve">20.09.2018</w:t>
      </w:r>
    </w:p>
    <w:p>
      <w:pPr>
        <w:pStyle w:val="BodyText"/>
      </w:pPr>
      <w:r>
        <w:t xml:space="preserve">18 сентября в Центре услуг для бизнеса в Зеленограде состоялся специализированный семинар, организованный ГБУ «Малый бизнес Москвы».</w:t>
      </w:r>
      <w:r>
        <w:br/>
      </w:r>
      <w:r>
        <w:br/>
      </w:r>
      <w:r>
        <w:t xml:space="preserve">На семинаре были представлены программы, которые на бесплатной основе реализует ГБУ МБМ. Среди них консультации и обучение по широкому спектру вопросов: регистрация и развитие бизнеса, юридические, налоговые, организационные, управленческие, финансовые, маркетинговые и другие аспекты деятельности. Целым рядом сервисов предприниматели могут воспользоваться в режиме on-line.</w:t>
      </w:r>
      <w:r>
        <w:br/>
      </w:r>
      <w:r>
        <w:br/>
      </w:r>
      <w:r>
        <w:t xml:space="preserve">Особое внимание было уделено субсидиям, которые бизнес может получить в Департаменте науки, промышленной политики и предпринимательства города Москвы. «Наиболее востребована сегодня субсидия для участников выставочной деятельности, она позволяет компенсировать затраты до 350 тыс рублей участникам российских выставок и до 700 тыс. рублей за участие в зарубежных мероприятиях», - рассказал представитель ГБУ МБМ Юрий Кулагин. Также Ю.Кулагин пояснил процедуру получения субсидий и перечень документов.</w:t>
      </w:r>
      <w:r>
        <w:br/>
      </w:r>
      <w:r>
        <w:br/>
      </w:r>
      <w:r>
        <w:t xml:space="preserve">Малые предприятия часто сталкиваются в банках с отказами в кредитовании из-за нехватки залогов. Подставить плечо и помочь получить кредит может Московский гарантийный фонд, который выдает поручительства субъектам МСП в объеме до 70% от финансирования. Об условиях работы с фондом сообщила Татьяна Репина, директор по общественным связям.</w:t>
      </w:r>
      <w:r>
        <w:br/>
      </w:r>
      <w:r>
        <w:br/>
      </w:r>
      <w:r>
        <w:t xml:space="preserve">Тему кредитования продолжил представитель банка-партнера фонда – Россельхозбанка – Максим Шамин, который не только презентовал продуктовую линейку банка для МСП, но и разъяснил предпринимателям особенности процесса принятия решения банковскими специалистами при оценке проектов малого бизнеса.</w:t>
      </w:r>
      <w:r>
        <w:br/>
      </w:r>
      <w:r>
        <w:br/>
      </w:r>
      <w:r>
        <w:t xml:space="preserve">В заключительной части семинара завязалась дискуссия о путях развития малого бизнеса, а также об альтернативных источниках финансирования и конкретных бизнес-кейсах. Стороны обменялись контактами для продолжения взаимодействия.</w:t>
      </w:r>
      <w:r>
        <w:br/>
      </w:r>
      <w:r>
        <w:br/>
      </w:r>
      <w:r>
        <w:br/>
      </w:r>
      <w:r>
        <w:br/>
      </w:r>
      <w:r>
        <w:t xml:space="preserve">Источник: Пресс-служба Московского гарантийного фонда,</w:t>
      </w:r>
      <w:r>
        <w:t xml:space="preserve"> </w:t>
      </w:r>
      <w:hyperlink r:id="rId20">
        <w:r>
          <w:rPr>
            <w:rStyle w:val="Hyperlink"/>
          </w:rPr>
          <w:t xml:space="preserve">repina@mosgarantfund.ru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http://garantfund.mos.ru/presscenter/news/detail/7583961.html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rantfund.mos.ru" TargetMode="External" /><Relationship Type="http://schemas.openxmlformats.org/officeDocument/2006/relationships/hyperlink" Id="rId21" Target="http://garantfund.mos.ru/presscenter/news/detail/7583961.html" TargetMode="External" /><Relationship Type="http://schemas.openxmlformats.org/officeDocument/2006/relationships/hyperlink" Id="rId20" Target="mailto:repina@mosgarantfund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rantfund.mos.ru" TargetMode="External" /><Relationship Type="http://schemas.openxmlformats.org/officeDocument/2006/relationships/hyperlink" Id="rId21" Target="http://garantfund.mos.ru/presscenter/news/detail/7583961.html" TargetMode="External" /><Relationship Type="http://schemas.openxmlformats.org/officeDocument/2006/relationships/hyperlink" Id="rId20" Target="mailto:repina@mosgarantfund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2025-05-19T20:04:11Z</dcterms:created>
  <dcterms:modified xsi:type="dcterms:W3CDTF">2025-05-19T20:04:11Z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