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3ac0fb85e4f725b8a3def58ba9b504661fe9fe"/>
    <w:p>
      <w:pPr>
        <w:pStyle w:val="Heading3"/>
      </w:pPr>
      <w:r>
        <w:t xml:space="preserve">Столичные программы финансовой поддержки представили на Саммите «Сильная Россия»</w:t>
      </w:r>
    </w:p>
    <w:p>
      <w:pPr>
        <w:pStyle w:val="FirstParagraph"/>
      </w:pPr>
      <w:r>
        <w:t xml:space="preserve">13.09.2018</w:t>
      </w:r>
    </w:p>
    <w:p>
      <w:pPr>
        <w:pStyle w:val="BodyText"/>
      </w:pPr>
      <w:r>
        <w:t xml:space="preserve">Ежегодный международный Саммит деловых кругов «Сильная Россия - 2018» состоялся в Аналитическом центре при Правительстве Российской Федерации. Главной темой Саммита стало обсуждение состояния инвестиционного климата в стране, развитие диалога власти и бизнеса, анализ результатов и планов реализации направлений государственной поддержки на федеральном, региональном уровне и в отдельных отраслях, задачи и вызовы «цифровой эпохи».</w:t>
      </w:r>
      <w:r>
        <w:br/>
      </w:r>
      <w:r>
        <w:br/>
      </w:r>
      <w:r>
        <w:t xml:space="preserve">Модератором дискуссий выступила Заместитель руководителя Аналитического центра при Правительстве Российской Федерации Светлана Ганеева.</w:t>
      </w:r>
      <w:r>
        <w:br/>
      </w:r>
      <w:r>
        <w:br/>
      </w:r>
      <w:r>
        <w:t xml:space="preserve">Представители бизнеса на Саммите имели возможность не только задать вопросы организациям господдержки непосредственно в ходе пленарных выступлений, но и воспользоваться персональными консультациями на сессии нетворкинга «Территория развития бизнеса».</w:t>
      </w:r>
      <w:r>
        <w:br/>
      </w:r>
      <w:r>
        <w:br/>
      </w:r>
      <w:r>
        <w:t xml:space="preserve">МСП имели возможность установить контакты с такими федеральными структурами, как:  Государственная корпорация по атомной энергии «Росатом», ПАО «Мечел», АО «Росагролизинг», ПАО «Россети», ФГУП «Почта России», Государственная корпорация «Банк развития и внешнеэкономической деятельности (ВНЕШЭКОНОМБАНК)», АО «Объединённая судостроительная корпорация», ОА «Особые экономические зоны, Банк ВТБ (публичное акционерное общество), АО «Военторг», ОАО «РЖД», ГК «Ростех», АО «Россельхозбанк», ПАО «ФСК ЕЭС»,  АО «Российский экспортный центр».</w:t>
      </w:r>
      <w:r>
        <w:br/>
      </w:r>
      <w:r>
        <w:br/>
      </w:r>
      <w:r>
        <w:t xml:space="preserve">В обсуждении приняли участие также представители ведущих научных и учебных организаций страны финансово-экономического профиля.</w:t>
      </w:r>
      <w:r>
        <w:br/>
      </w:r>
      <w:r>
        <w:br/>
      </w:r>
      <w:r>
        <w:t xml:space="preserve">Острый тон дискуссии задало выступление Вице-президента «ОПОРЫ РОССИИ» Марины Блудян, которая обратила внимание на негативное влияние на инвестклимат и деловую среду избыточного количества регламентирующих правил и ограничений для бизнеса, привела сравнительные показатели по регламентам в Европе и в России.</w:t>
      </w:r>
      <w:r>
        <w:br/>
      </w:r>
      <w:r>
        <w:br/>
      </w:r>
      <w:r>
        <w:t xml:space="preserve">МСП и госзакупки</w:t>
      </w:r>
      <w:r>
        <w:br/>
      </w:r>
      <w:r>
        <w:br/>
      </w:r>
      <w:r>
        <w:t xml:space="preserve">Представитель федеральной Корпорации МСП Наталья Битюкова презентовала программы гарантийной поддержки и работу, которую ведет Корпорация по расширению участия МСБ в госзаказе. «Государство планирует довести объем закупок у МСП к концу 2018 г. до 3 триллионов рублей. Лидируют в закупках у МСП Москва (459 млрд руб), Санкт-Петербург (145 млрд руб), Московская область (62 млрд руб)», - привела цифры Н.Битюкова.</w:t>
      </w:r>
      <w:r>
        <w:br/>
      </w:r>
      <w:r>
        <w:br/>
      </w:r>
      <w:r>
        <w:t xml:space="preserve">На примере корпорации ПАО «Россети» было убедительно продемонстрировано, что госзаказ по плечу малому и среднему бизнесу. Об этом рассказал руководитель направления электронных закупок ПАО «Россети» Виктор Симоненко.</w:t>
      </w:r>
      <w:r>
        <w:br/>
      </w:r>
      <w:r>
        <w:br/>
      </w:r>
      <w:r>
        <w:t xml:space="preserve">Столичные программы господдержки</w:t>
      </w:r>
      <w:r>
        <w:br/>
      </w:r>
      <w:r>
        <w:br/>
      </w:r>
      <w:r>
        <w:t xml:space="preserve">Практически в каждом регионе есть собственная программа поддержки малого и среднего предпринимательства. В Москве данное направление курирует Департамент науки, промышленной политики и предпринимательства Москвы. Сегодня в столице действуют специальные налоговые режимы, субсидии, программы помощи.</w:t>
      </w:r>
      <w:r>
        <w:br/>
      </w:r>
      <w:r>
        <w:br/>
      </w:r>
      <w:r>
        <w:t xml:space="preserve">Для обеспечения производственных, высокотехнологичных компаний доступным финансированием Московский фонд поддержки промышленности и предпринимательства (МФППиП) выдает прямые займы по ставкам существенно ниже банковских.</w:t>
      </w:r>
      <w:r>
        <w:br/>
      </w:r>
      <w:r>
        <w:br/>
      </w:r>
      <w:r>
        <w:t xml:space="preserve">Такие льготные займы в сумме до 100 миллионов рублей нацелены на инвестиционное развитие, покупку оборудования, при этом часть средств заемщики смогут использовать на пополнение оборотных средств, НИОКР и прочие нужды. Фонд помогает действующим предприятиям гражданской промышленности, резидентам технопарков, промкомплексам, высокотехнологичных, научно-исследовательских компаниям, экспортерам.  Об этом подробно рассказал руководитель МФППиП Михаил Лопухов.</w:t>
      </w:r>
      <w:r>
        <w:br/>
      </w:r>
      <w:r>
        <w:br/>
      </w:r>
      <w:r>
        <w:t xml:space="preserve">Также в  помощь малым и средним компаниям в получении кредитов работает Московский гарантийный фонд, который выступает поручителем по кредитам, гарантиям, займам. «За время работы при поддержке фонда предприниматели привлекли свыше 125 млрд рублей заемных средств. Сегодня кредиты с поручительствами фонда занимают 4% на московском рынке кредитов МСБ. Для существенного влияния на рынок совокупный размер гарантийной помощи в целом по стране должен составлять не менее 10-15%,  а это значит, что размер капитализации региональных фондов необходимо наращивать», - внес предложение  исполнительный директор Московского гарантийного фонда Антон Купринов.</w:t>
      </w:r>
      <w:r>
        <w:br/>
      </w:r>
      <w:r>
        <w:br/>
      </w:r>
      <w:r>
        <w:t xml:space="preserve">Аграрные проекты</w:t>
      </w:r>
      <w:r>
        <w:br/>
      </w:r>
      <w:r>
        <w:br/>
      </w:r>
      <w:r>
        <w:t xml:space="preserve">Тематика  импортозамещения в первую очередь касается агро-промышленного комплекса, нельзя не коснуться агропромышленного комплекса России. Заместитель руководителя Департамента развития корпоративного бизнеса и стратегического управления АО «Росагролизинг» Малика Шаматова, отмечая, что «Росагролизинг» является эффективным инструментом развития АПК, особо остановилась на важности кооперации для наиболее эффективного использования дорогостоящей техники, приобретаемой в лизинг.</w:t>
      </w:r>
      <w:r>
        <w:br/>
      </w:r>
      <w:r>
        <w:br/>
      </w:r>
      <w:r>
        <w:t xml:space="preserve">Социальное предпринимательство</w:t>
      </w:r>
      <w:r>
        <w:br/>
      </w:r>
      <w:r>
        <w:br/>
      </w:r>
      <w:r>
        <w:t xml:space="preserve">В настоящее время активно развивается новый тренд: социальное предпринимательство. Термин относительно новый, но уже можно говорить о том, что и это направление находит поддержку у государства. Советник по развитию Фонда региональных социальных программ «Наше будущее» Роман Давыдов, говоря о инфраструктуре поддержки проектов социальных предпринимателей, отметил, что фонд уже реализовал около 200 проектов в разных регионах России на сумму 500 миллионов рублей.</w:t>
      </w:r>
      <w:r>
        <w:br/>
      </w:r>
      <w:r>
        <w:br/>
      </w:r>
      <w:r>
        <w:t xml:space="preserve">Цифровая экономика и цифровое общество</w:t>
      </w:r>
      <w:r>
        <w:br/>
      </w:r>
      <w:r>
        <w:br/>
      </w:r>
      <w:r>
        <w:t xml:space="preserve">Говоря о развитии и поддержке малого и среднего бизнеса, нельзя не упомянуть о цифровизации. Врио Генерального директора АНО «Агентство по технологическому развитию» Юрий Абрамов, рассказал о цифровизации российской промышленности. А Вице-президент Национального исследовательского университета «Высшая школа экономики» Игорь Агамирзян затронул перспективы цифровой экономики.</w:t>
      </w:r>
      <w:r>
        <w:br/>
      </w:r>
      <w:r>
        <w:br/>
      </w:r>
      <w:r>
        <w:t xml:space="preserve">Безусловно, современные технологические  реалии диктуют свои условия. Так, Генеральный директор АО «Росинфокоминвест» Павел Родионов выступил с докладом на тему: «Новые подходы к финансированию проектов цифровой экономики». П.Родионов привел данные о стремительном увеличении скорости накопления и объема данных, при этом сроки стратегического и тактического планирования сокращаются в разы, это требует переосмысления подходов и действий, новых навыков действий в условиях постоянных изменений.</w:t>
      </w:r>
      <w:r>
        <w:br/>
      </w:r>
      <w:r>
        <w:br/>
      </w:r>
      <w:r>
        <w:t xml:space="preserve">Итоги форума и планы на будущее</w:t>
      </w:r>
      <w:r>
        <w:br/>
      </w:r>
      <w:r>
        <w:br/>
      </w:r>
      <w:r>
        <w:t xml:space="preserve">Оператор Саммита -  АНО Центр поддержки и развития бизнеса  «Инициатива» в настоящее время готовит итоговый документ – резолюцию мероприятия. Документ будет направлен в профильные министерства и ведомства, общественные организации, институты развития. Все вопросы и предложения бизнеса будут обязательно включены в резолюцию. А ответы и разъяснения можно будет получить на следующем мероприятии «Инициативы» - Национальном конгрессе «Модернизация промышленности России: приоритеты развития», которое пройдет в декабре этого года в Москве.</w:t>
      </w:r>
      <w:r>
        <w:br/>
      </w:r>
      <w:r>
        <w:br/>
      </w:r>
      <w:r>
        <w:br/>
      </w:r>
      <w:r>
        <w:t xml:space="preserve">Источник: Пресс-служба ФСКМБМ,</w:t>
      </w:r>
      <w:r>
        <w:t xml:space="preserve"> </w:t>
      </w:r>
      <w:hyperlink r:id="rId20">
        <w:r>
          <w:rPr>
            <w:rStyle w:val="Hyperlink"/>
          </w:rPr>
          <w:t xml:space="preserve">repina@mosgarantfund.ru</w:t>
        </w:r>
      </w:hyperlink>
    </w:p>
    <w:p>
      <w:pPr>
        <w:pStyle w:val="BodyText"/>
      </w:pPr>
      <w:r>
        <w:br/>
      </w:r>
    </w:p>
    <w:p>
      <w:pPr>
        <w:pStyle w:val="BodyText"/>
      </w:pPr>
      <w:r>
        <w:t xml:space="preserve">Адрес страницы:</w:t>
      </w:r>
      <w:r>
        <w:t xml:space="preserve"> </w:t>
      </w:r>
      <w:hyperlink r:id="rId21">
        <w:r>
          <w:rPr>
            <w:rStyle w:val="Hyperlink"/>
          </w:rPr>
          <w:t xml:space="preserve">http://garantfund.mos.ru/presscenter/news/detail/7569376.html</w:t>
        </w:r>
      </w:hyperlink>
    </w:p>
    <w:p>
      <w:pPr>
        <w:pStyle w:val="BodyText"/>
      </w:pPr>
      <w:hyperlink r:id="rId22">
        <w:r>
          <w:rPr>
            <w:rStyle w:val="Hyperlink"/>
          </w:rPr>
          <w:t xml:space="preserve">НО города Москвы «Фонд содействия кредитованию малого бизнеса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arantfund.mos.ru" TargetMode="External" /><Relationship Type="http://schemas.openxmlformats.org/officeDocument/2006/relationships/hyperlink" Id="rId21" Target="http://garantfund.mos.ru/presscenter/news/detail/7569376.html" TargetMode="External" /><Relationship Type="http://schemas.openxmlformats.org/officeDocument/2006/relationships/hyperlink" Id="rId20" Target="mailto:repina@mosgarantfund.ru" TargetMode="External" /></Relationships>
</file>

<file path=word/_rels/footnotes.xml.rels><?xml version="1.0" encoding="UTF-8"?><Relationships xmlns="http://schemas.openxmlformats.org/package/2006/relationships"><Relationship Type="http://schemas.openxmlformats.org/officeDocument/2006/relationships/hyperlink" Id="rId22" Target="http://garantfund.mos.ru" TargetMode="External" /><Relationship Type="http://schemas.openxmlformats.org/officeDocument/2006/relationships/hyperlink" Id="rId21" Target="http://garantfund.mos.ru/presscenter/news/detail/7569376.html" TargetMode="External" /><Relationship Type="http://schemas.openxmlformats.org/officeDocument/2006/relationships/hyperlink" Id="rId20" Target="mailto:repina@mosgarantfund.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2025-05-19T20:04:00Z</dcterms:created>
  <dcterms:modified xsi:type="dcterms:W3CDTF">2025-05-19T20:04:00Z</dcterms:modified>
</cp:coreProperties>
</file>

<file path=docProps/custom.xml><?xml version="1.0" encoding="utf-8"?>
<Properties xmlns="http://schemas.openxmlformats.org/officeDocument/2006/custom-properties" xmlns:vt="http://schemas.openxmlformats.org/officeDocument/2006/docPropsVTypes"/>
</file>