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fdbce384d9cbd9cfd20c205af831ca3037fd6"/>
    <w:p>
      <w:pPr>
        <w:pStyle w:val="Heading3"/>
      </w:pPr>
      <w:r>
        <w:t xml:space="preserve">Резидентам Особой экономической зоны и технополиса Москвы презентовали меры финансовой поддержки</w:t>
      </w:r>
    </w:p>
    <w:p>
      <w:pPr>
        <w:pStyle w:val="FirstParagraph"/>
      </w:pPr>
      <w:r>
        <w:t xml:space="preserve">12.09.2018</w:t>
      </w:r>
    </w:p>
    <w:p>
      <w:pPr>
        <w:pStyle w:val="BodyText"/>
      </w:pPr>
      <w:r>
        <w:t xml:space="preserve">В Технополисе «Москва» подведомственные организации Департамента науки, промышленной политики и предпринимательства города Москвы 11 сентября 2018г. представили программы государственной финансовой поддержки промышленных предприятий. Встречу открыла управляющий директор по работе с инвесторами ОЭЗ «Технополис «Москва» Виктория Казарян.</w:t>
      </w:r>
      <w:r>
        <w:br/>
      </w:r>
      <w:r>
        <w:br/>
      </w:r>
      <w:r>
        <w:t xml:space="preserve">Ведущий специалист управления сопровождения проектов Московского экспортного центра Виктория Зверева рассказала о возможности продвижения продукции московских экспортеров на зарубежных выставках на коллективном стенде под брендом «Сделано в Москве», и через электронный каталог экспортной продукции. Затраты на участие в выставках МЭЦ компенсирует на 100%. Также В.Зверева рассказала о продвижении с поддержкой МЭЦ на маркетплейсе Alibaba, в том числе о возможности получения «золотого аккаунта».</w:t>
      </w:r>
      <w:r>
        <w:br/>
      </w:r>
      <w:r>
        <w:br/>
      </w:r>
      <w:r>
        <w:t xml:space="preserve">Директор по общественным связям Фонда содействия кредитованию малого бизнеса Москвы Татьяна Репина в своем выступлении раскрыла механизм гарантийной поддержки предпринимателей. «При нехватке залогов фонд может предоставить поручительства по кредитам, банковским гарантиям в объеме до 70%», - сказала Т.Репина, а также обратила внимание на новые поручительства, которые предоставляет фонд в пилотном режиме – по лизингу, факторингу, аккредитивам,  пояснила условия работы фонда с предпринимателями, рассказала о пакете документов, порядке подачи заявки на поручительство.</w:t>
      </w:r>
      <w:r>
        <w:br/>
      </w:r>
      <w:r>
        <w:br/>
      </w:r>
      <w:r>
        <w:t xml:space="preserve">Генеральный директор Московского Фонда поддержки промышленности и предпринимательства Михаил Лопухов выступил с презентацией по продуктам Фонда, рассказал об условиях получения долгосрочных льготных займов до 100 млн руб. сроком не более 5 лет по ставке от 2% до 5 %. М.Лопухов отметил что займы могут быть предоставлены промышленным и научным предприятиям, города Москвы, которые являются экспортерами или организациями, планирующими экспорт в страны ближнего и дальнего зарубежья, а также арендаторам технопарков, технополисов, индустриальных (промышленных) парков, участникам инновационных кластеров Москвы и резидентам ОЭЗ.</w:t>
      </w:r>
      <w:r>
        <w:br/>
      </w:r>
      <w:r>
        <w:br/>
      </w:r>
      <w:r>
        <w:t xml:space="preserve">В завершение встречи спикеры ответили на вопросы резидентов площадки, проконсультировали по конкретным проектам, предоставили необходимые контакты.</w:t>
      </w:r>
      <w:r>
        <w:br/>
      </w:r>
      <w:r>
        <w:br/>
      </w:r>
      <w:r>
        <w:t xml:space="preserve">ОЭЗ «Технополис «Москва» - подведомственная структура Департамента науки, промышленной политики и предпринимательства города Москвы.</w:t>
      </w:r>
      <w:r>
        <w:br/>
      </w:r>
      <w:r>
        <w:t xml:space="preserve">  </w:t>
      </w:r>
      <w:r>
        <w:br/>
      </w:r>
      <w:r>
        <w:br/>
      </w:r>
      <w:r>
        <w:t xml:space="preserve">Источник: Пресс-служба ФСКМБМ,</w:t>
      </w:r>
      <w:r>
        <w:t xml:space="preserve"> </w:t>
      </w:r>
      <w:hyperlink r:id="rId20">
        <w:r>
          <w:rPr>
            <w:rStyle w:val="Hyperlink"/>
          </w:rPr>
          <w:t xml:space="preserve">repina@mosgarantfund.ru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http://garantfund.mos.ru/presscenter/news/detail/7568228.html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568228.html" TargetMode="External" /><Relationship Type="http://schemas.openxmlformats.org/officeDocument/2006/relationships/hyperlink" Id="rId20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568228.html" TargetMode="External" /><Relationship Type="http://schemas.openxmlformats.org/officeDocument/2006/relationships/hyperlink" Id="rId20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2025-05-19T20:03:57Z</dcterms:created>
  <dcterms:modified xsi:type="dcterms:W3CDTF">2025-05-19T20:03:57Z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