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6c3205b547bd77971f98b6a99e859fe41bf2a"/>
    <w:p>
      <w:pPr>
        <w:pStyle w:val="Heading3"/>
      </w:pPr>
      <w:r>
        <w:t xml:space="preserve">«Инвестиционная Россия» и структуры финансовой господдержки бизнеса объединят усилия в помощи экспортерам</w:t>
      </w:r>
    </w:p>
    <w:p>
      <w:pPr>
        <w:pStyle w:val="FirstParagraph"/>
      </w:pPr>
      <w:r>
        <w:t xml:space="preserve">12.09.2018</w:t>
      </w:r>
    </w:p>
    <w:p>
      <w:pPr>
        <w:pStyle w:val="BodyText"/>
      </w:pPr>
      <w:r>
        <w:t xml:space="preserve">11 сентября 2018 г. Общероссийская общественная организация  «Инвестиционная Россия» и структуры финансовой поддержки предпринимателей Москвы провели рабочую инвестиционно-финансовую сессию, главным акцентом которой стали инструменты развития и продвижения для московских экспортеров.</w:t>
      </w:r>
      <w:r>
        <w:br/>
      </w:r>
      <w:r>
        <w:br/>
      </w:r>
      <w:r>
        <w:t xml:space="preserve">«Инвестиционная Россия» - платформа для работы с инвесторами, деятельность организации направлена на разработку программ, предложений и исследований по улучшению инвестиционного климата, организацию диалога между предпринимателями и органами власти, поиск и привлечение инвесторов. Мы готовы целенаправленно отбирать, готовить предпринимательские проекты и представлять их в московские структуры поддержки. Наше сообщество готово развивать диалог по корректировке текущих и созданию новых инструментов», - сказал Сергей Ореханов, вице-президент «Инвестиционной России», модератор сессии, открывая заседание.</w:t>
      </w:r>
      <w:r>
        <w:br/>
      </w:r>
      <w:r>
        <w:br/>
      </w:r>
      <w:r>
        <w:t xml:space="preserve">Генеральный директор Московского Фонда поддержки промышленности и предпринимательства Михаил Лопухов отметил, что в рамках продукта «Экспорт» Фонд оказывает финансовую поддержку промышленным и научным предприятиям города Москвы, которые являются экспортерами - с долей в выручке от экспорта 1%, а также организациям, планирующим экспортную деятельность в страны ближнего и дальнего зарубежья. Поддержка осуществляется путем предоставления долгосрочных льготных займов от 10 до 50 млн руб. сроком не более 5 лет по ставке 5 %.</w:t>
      </w:r>
      <w:r>
        <w:br/>
      </w:r>
      <w:r>
        <w:br/>
      </w:r>
      <w:r>
        <w:t xml:space="preserve">Помощь предприятиям малого бизнеса при кредитовании готов оказать Московский гарантийный фонд. «При нехватке собственного залога Фонд выступает поручителем за предприятия в объеме до 70% от кредита, банковской гарантии, лизинга, факторинга, аккредитива. С фондом работают более 70-ти кредиторов, в том числе и  Московский Фонд поддержки промышленности и предпринимательства. Претендентам на гарантийную поддержку целесообразно начинать работать с тем из банков, где уже открыт счет, также можно подать заявки в несколько банков или напрямую в фонд», - пояснила Татьяна Репина, директор по общественным связям фонда.</w:t>
      </w:r>
      <w:r>
        <w:br/>
      </w:r>
      <w:r>
        <w:br/>
      </w:r>
      <w:r>
        <w:t xml:space="preserve">Георгий Соин представил программы Московского экспортного центра, который выступает "единым окном" для работы с московскими экспортерами в области финансовых и нефинансовых мер поддержки, консолидируя усилия по продвижению столичной продукции на внешние рынки. «Мы содействуем выстраиванию для предприятий каналов сбыта, используя маркетинговые, финансовые и консалтинговые инструменты: от выставок до электронной коммерции, от отражения Вашей продукции в нашем экспортном каталоге до сопровождения Ваших бизнес контактов по всему миру, от информирования и консультирования до содействия страховым и финансовым мерам поддержки Правительства Москвы, а также услугам федеральных и частных гарантийных и инвестиционных фондов», - сообщил Г.Соин.</w:t>
      </w:r>
      <w:r>
        <w:br/>
      </w:r>
      <w:r>
        <w:br/>
      </w:r>
      <w:r>
        <w:t xml:space="preserve">Во второй части мероприятия проекты экспортеров были представлены к дискуссионному обсуждению экспертов, наиболее подготовленными выглядели следующие:</w:t>
      </w:r>
      <w:r>
        <w:br/>
      </w:r>
      <w:r>
        <w:br/>
      </w:r>
      <w:r>
        <w:t xml:space="preserve">Компания "Био Трейд" - московский производитель биоразлагаемой одноразовой упаковки для продуктов и посуды презентовала планы развития проекта с оригинальной технологией производства биоразлагаемой упаковки, созданной российскими специалистами, которая позволяет выпускать упаковку, соответствующую самым строгим современным мировым требованиям, и востребована на иностранных рынках".</w:t>
      </w:r>
      <w:r>
        <w:br/>
      </w:r>
      <w:r>
        <w:br/>
      </w:r>
      <w:r>
        <w:t xml:space="preserve">Предприниматель, издатель журнала Jewelery Gargen Марина Кудрина ярко и эмоционально рассказала о трудностях и борьбе российских ювелирных домов при выходе на экспорт со своей уникальной продукцией. Она поделилась опытом организации мероприятия по продвижению ведущих российских производителей ювелирных украшений и коллекций на западном рынке "Made in Russia", прошедшем в Лондоне, имевшем широкий резонанс среди западной аудитории и масс-медиа. М.Кудрина поделилась собственным опытом взаимодействия с российскими структурами поддержки экспорта.</w:t>
      </w:r>
      <w:r>
        <w:br/>
      </w:r>
      <w:r>
        <w:br/>
      </w:r>
      <w:r>
        <w:t xml:space="preserve">Московский производитель пейнтбольных шаров – компания «Прошар» заявила о своих амбициозных планах расширения присутствия на западных рынках. Уже сегодня компания – крупнейший производитель пейнтбольных шаров в Европе, и вторая в мире. «Единственную господдержку, которую мы действительно получили – это помощь Московского гарантийного фонда, к сожалению работа с федеральными организациями заняла длительное время и не принесла результата», - отметил на сессии собственник бизнеса Анатолий Подкопов.</w:t>
      </w:r>
      <w:r>
        <w:br/>
      </w:r>
      <w:r>
        <w:br/>
      </w:r>
      <w:r>
        <w:t xml:space="preserve">Участники сессии согласились с тем, что предпринимательская среда недостаточно информирована о возможностях поддержки, задали многочисленные вопросы по предложенным финансовым продуктам. Сессия завершилась нетворкингом и обменом контактами. Организаторы договорились о продолжении практики презентаций конкретных проектов московским структурам поддержки бизнеса и проведении регулярных сессий.</w:t>
      </w:r>
      <w:r>
        <w:br/>
      </w:r>
      <w:r>
        <w:br/>
      </w:r>
      <w:r>
        <w:br/>
      </w:r>
      <w:r>
        <w:t xml:space="preserve">Источник: Пресс-служба Московского гарантийного фонда,</w:t>
      </w:r>
      <w:r>
        <w:t xml:space="preserve"> </w:t>
      </w:r>
      <w:hyperlink r:id="rId20">
        <w:r>
          <w:rPr>
            <w:rStyle w:val="Hyperlink"/>
          </w:rPr>
          <w:t xml:space="preserve">repina@mosgarantfund.ru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http://garantfund.mos.ru/presscenter/news/detail/7568075.html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568075.html" TargetMode="External" /><Relationship Type="http://schemas.openxmlformats.org/officeDocument/2006/relationships/hyperlink" Id="rId20" Target="mailto:repina@mosgarantfun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568075.html" TargetMode="External" /><Relationship Type="http://schemas.openxmlformats.org/officeDocument/2006/relationships/hyperlink" Id="rId20" Target="mailto:repina@mosgarantfun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2025-05-19T20:04:12Z</dcterms:created>
  <dcterms:modified xsi:type="dcterms:W3CDTF">2025-05-19T20:04:12Z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