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3dd3be09741af011a2d31fcf3b16b5462d7ec"/>
    <w:p>
      <w:pPr>
        <w:pStyle w:val="Heading3"/>
      </w:pPr>
      <w:r>
        <w:t xml:space="preserve">03.09.2018 Фонд участвовал в предпринимательском форуме ТРАНСФОРМАЦИЯ-4 в СК «Олимпийский»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t xml:space="preserve">В понедельник 03.09.2018 свыше 15 тысяч предпринимателей собралось в спорткомплексе «Олимпийский» на бизнес-форум ТРАНСФОРМАЦИЯ-4 , чтобы получить мотивационный толчок к созданию или развитию собственного дела. Главная цель форума донести до предпринимательского сообщества новейшие знания, методики, технологии для роста бизнеса — сделать Москву экономическим центром мира.</w:t>
      </w:r>
      <w:r>
        <w:br/>
      </w:r>
      <w:r>
        <w:br/>
      </w:r>
      <w:r>
        <w:t xml:space="preserve">Организатором форума выступил Университет «Синергия» в партнерстве с Правительством Москвы. Ведущие эксперты в области упаковки, трафика, продаж и автоматизации объединились в стремлении вывести бизнес в столице на новый уровень.</w:t>
      </w:r>
      <w:r>
        <w:br/>
      </w:r>
      <w:r>
        <w:br/>
      </w:r>
      <w:r>
        <w:t xml:space="preserve">В день ТРАНСФОРМАЦИИ СК «Олимпийский» превратился в гигантский лекторий, где в режиме нон-стоп без перерывов шли блоки программы, посвященные продажам, автоматизации, управлению, трафику, продвижению и многим другим задачам современного бизнеса. Предприниматели участвовали во всех мероприятиях ТРАНСФОРМАЦИИ совершенно бесплатно.</w:t>
      </w:r>
      <w:r>
        <w:br/>
      </w:r>
      <w:r>
        <w:br/>
      </w:r>
      <w:r>
        <w:t xml:space="preserve">Ранее Наталья Сергунина, заместитель мэра Москвы по вопросам экономической политики и имущественно-земельных отношений сообщала, что  в сегменте малого и среднего предпринимательства занято свыше двух миллионов москвичей. Форум «Трансформация» ориентирован прежде всего на них. С одной стороны, это бизнес-интенсив для профессионального роста, а с другой — площадка для обмена опытом, деловых переговоров, презентации своих возможностей, поиска инвесторов и единомышленников.</w:t>
      </w:r>
      <w:r>
        <w:br/>
      </w:r>
      <w:r>
        <w:br/>
      </w:r>
      <w:r>
        <w:t xml:space="preserve">Участие в форуме принял глава столичного Департамента науки, промышленной политики и предпринимательства Алексей Фурсин, который подчеркнул, что городские власти находятся в постоянном взаимодействии с предпринимательским сообществом, а ТРАНСФОРМАЦИЯ позволяет  выстроить прямой диалог с предпринимателями, довести до представителей бизнеса широкий круг городских мер поддержки: льготы, субсидии, помощь с финансированием, консультации.</w:t>
      </w:r>
      <w:r>
        <w:br/>
      </w:r>
      <w:r>
        <w:br/>
      </w:r>
      <w:r>
        <w:t xml:space="preserve">На форуме работали стенды Центра услуг для бизнеса, Инвестиционного портала Москвы, Фонда содействия кредитованию малого бизнеса Москвы (ФСКМБМ), Moscow Seed Fund, Московского экспортного центра, Портала поставщиков и другие, которые презентовали программы государственной поддержки и развития бизнеса.</w:t>
      </w:r>
      <w:r>
        <w:br/>
      </w:r>
      <w:r>
        <w:br/>
      </w:r>
      <w:r>
        <w:t xml:space="preserve">В ходе ТРАНСФОРМАЦИИ представители Департамента науки, промышленной политики и предпринимательства Москвы, Московского экспортного центра и Сбербанка подписали соглашение о сотрудничестве. Цель соглашения — организация поддержки и развития экспорта услуг, работ, товаров, в том числе результатов интеллектуальной деятельности, созданных организациями, зарегистрированными в столице. Стороны намерены в связке с банком развивать специальную on-line платформу в формате маркетплейса, где предприниматели смогут не только находить новых партнеров, но и получат доступ к широкому кругу финансовых инструментов.</w:t>
      </w:r>
      <w:r>
        <w:br/>
      </w:r>
      <w:r>
        <w:br/>
      </w:r>
      <w:r>
        <w:t xml:space="preserve">Исполнительный директор ФСКМБМ Антон Купринов, так прокомментировал событие: «Мы рассчитываем, что платформой воспользуется широкий круг экспортеров. При экспортных поставках компаниям необходимы кредиты под оборотные средства, банковские гарантии, в этой части мы готовы подставить плечо и предоставить поручительство фонда. Среди интересных экспортных сделок с участием фонда за последнее время могу назвать поставки за рубеж изделий из сапфировых стекол, запчастей для вертолетов, электротехнического оборудования».</w:t>
      </w:r>
      <w:r>
        <w:br/>
      </w:r>
      <w:r>
        <w:br/>
      </w:r>
      <w:r>
        <w:t xml:space="preserve">Пресс-служба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http://garantfund.mos.ru/presscenter/news/detail/7553073.html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553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553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2025-05-19T20:04:18Z</dcterms:created>
  <dcterms:modified xsi:type="dcterms:W3CDTF">2025-05-19T20:04:18Z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