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93ff9f7cbc4b064c7b138dd4be3395adb2c19b"/>
    <w:p>
      <w:pPr>
        <w:pStyle w:val="Heading3"/>
      </w:pPr>
      <w:r>
        <w:t xml:space="preserve">Фонд презентовал гарантийные продукты на Летней школе поставщика</w:t>
      </w:r>
    </w:p>
    <w:p>
      <w:pPr>
        <w:pStyle w:val="FirstParagraph"/>
      </w:pPr>
      <w:r>
        <w:t xml:space="preserve">23.08.2018</w:t>
      </w:r>
    </w:p>
    <w:p>
      <w:pPr>
        <w:pStyle w:val="BodyText"/>
      </w:pPr>
      <w:r>
        <w:t xml:space="preserve">Несмотря на сезон отпусков Летняя школа проходила с неизменным успехом, несколько сотен предпринимателей посетили занятия, а по завершении стали обладателями соответствующего сертификата. Обучение предпринимателей было организовано несколькими потоками, чтобы дать возможность большему количеству желающих принять участие в данном начинании. Обучающие блоки Летней школы проведены на бесплатной основе, включали семинары, мастер-классы, лекции, деловые игры, форсайт-сессии, консультации.</w:t>
      </w:r>
      <w:r>
        <w:br/>
      </w:r>
      <w:r>
        <w:br/>
      </w:r>
      <w:r>
        <w:t xml:space="preserve">В доступной форме слушателей информировали о нововведениях в закупочной деятельности, участники получили рекомендации по осуществлению закупок по новым правилам. Разработчики презентовали новые возможности на Портале Поставщиков, обучили навыкам работы в части регистрации, размещения оферты, подписания контракта и других сервисов.</w:t>
      </w:r>
      <w:r>
        <w:br/>
      </w:r>
      <w:r>
        <w:br/>
      </w:r>
      <w:r>
        <w:t xml:space="preserve">Электронные процедуры станут обязательными с 1 января 2019 года, поэтому часть программы была посвящена работе в личном кабинете Единой электронной торговой площадки, последовательности действий по электронным процедурам, мониторингу действий поставщиков и заказчиков. Также участники познакомились с заключением контрактов по итогам электронной процедуры и сопутствующими финансовыми сервисами ЭП Сбербанк-АСТ.</w:t>
      </w:r>
      <w:r>
        <w:br/>
      </w:r>
      <w:r>
        <w:br/>
      </w:r>
      <w:r>
        <w:t xml:space="preserve">Отдельная часть программы касалась вопросов финансирования. В помощь предпринимателям-поставщикам на Школе были представлены программы поддержки от Московского гарантийного фонда. Поставщикам на разных этапах закупочной деятельности остро требуется заемное финансирование, но собственного обеспечения (залога) у малых компаний обычно не хватает. Фонд выступает поручителем перед более чем 70-ю кредиторами по кредитам, банковским гарантиям, лизингу в объеме до 70% от привлекаемого финансирования. Поручительства закрывают банкам риски кредитования МСП и делают такие сделки принципиально возможными.</w:t>
      </w:r>
      <w:r>
        <w:br/>
      </w:r>
      <w:r>
        <w:br/>
      </w:r>
      <w:r>
        <w:t xml:space="preserve">Участники также получили информацию о том, что делать в случаях недобросовестной конкуренции, выявления нарушений, как и в каких случаях поставщикам следует обращаться в ФАС для защиты своих законных прав и интересов. С другой стороны, важно было осветить и наиболее распространенные ошибки самих поставщиков, которые могут привести к занесению в Реестр недобросовестных поставщиков. Как этого избежать и что делать, если такое случилось обсудили на коллективном мозговом штурме.</w:t>
      </w:r>
      <w:r>
        <w:br/>
      </w:r>
      <w:r>
        <w:br/>
      </w:r>
      <w:r>
        <w:t xml:space="preserve">Отзывы самих предпринимателей-участников, дефицит свободных мест в зале – все это свидетельствует о несомненной пользе Летней школы поставщика, которая стала местом получения практических навыков и овладения конкретным опытом участия в закупках. Организаторы намерены продолжать данные мероприятия, о графике проведения см. здесь:</w:t>
      </w:r>
      <w:r>
        <w:t xml:space="preserve"> </w:t>
      </w:r>
      <w:hyperlink r:id="rId20">
        <w:r>
          <w:rPr>
            <w:rStyle w:val="Hyperlink"/>
          </w:rPr>
          <w:t xml:space="preserve">http://mos-tender.com/supplier-school</w:t>
        </w:r>
      </w:hyperlink>
      <w:r>
        <w:t xml:space="preserve">.</w:t>
      </w:r>
      <w:r>
        <w:br/>
      </w:r>
      <w:r>
        <w:br/>
      </w:r>
      <w:r>
        <w:t xml:space="preserve">Источник: Пресс-служба ФСКМБМ,</w:t>
      </w:r>
      <w:r>
        <w:t xml:space="preserve"> </w:t>
      </w:r>
      <w:hyperlink r:id="rId21">
        <w:r>
          <w:rPr>
            <w:rStyle w:val="Hyperlink"/>
          </w:rPr>
          <w:t xml:space="preserve">repina@mosgarantfund.ru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http://garantfund.mos.ru/presscenter/news/detail/7527483.html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НО города Москвы «Фонд содействия кредитованию малого бизнеса Москвы»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garantfund.mos.ru" TargetMode="External" /><Relationship Type="http://schemas.openxmlformats.org/officeDocument/2006/relationships/hyperlink" Id="rId22" Target="http://garantfund.mos.ru/presscenter/news/detail/7527483.html" TargetMode="External" /><Relationship Type="http://schemas.openxmlformats.org/officeDocument/2006/relationships/hyperlink" Id="rId20" Target="http://mos-tender.com/supplier-school" TargetMode="External" /><Relationship Type="http://schemas.openxmlformats.org/officeDocument/2006/relationships/hyperlink" Id="rId21" Target="mailto:repina@mosgarantfund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garantfund.mos.ru" TargetMode="External" /><Relationship Type="http://schemas.openxmlformats.org/officeDocument/2006/relationships/hyperlink" Id="rId22" Target="http://garantfund.mos.ru/presscenter/news/detail/7527483.html" TargetMode="External" /><Relationship Type="http://schemas.openxmlformats.org/officeDocument/2006/relationships/hyperlink" Id="rId20" Target="http://mos-tender.com/supplier-school" TargetMode="External" /><Relationship Type="http://schemas.openxmlformats.org/officeDocument/2006/relationships/hyperlink" Id="rId21" Target="mailto:repina@mosgarantfund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2025-08-05T15:19:32Z</dcterms:created>
  <dcterms:modified xsi:type="dcterms:W3CDTF">2025-08-05T15:19:32Z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