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399c870e8f9873424ee2fe72be3861c6e0038"/>
    <w:p>
      <w:pPr>
        <w:pStyle w:val="Heading3"/>
      </w:pPr>
      <w:r>
        <w:t xml:space="preserve">Представители Фонда выступили перед предпринимателями на семинаре в ЦУБе ЮЗАО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  <w:r>
        <w:t xml:space="preserve">Представитель ГБУ МБМ Юрий Кулагин доложил собравшимся о субсидиях, которые сегодня предлагает Департамент науки, промышленной политики и предпринимательства Москвы. Помочь составить заявку могут специалисты ЦУБов. Среди субсидий имеется субсидия на компенсацию процентной ставки и компенсацию расходов по лизинговым платежам, субсидии на развитие выставочной деятельности. Также интерес собравшихся вызвала информация о программах обучения для участия в госзаказе и программа поиска помещений для представителей малого и среднего предпринимательства.</w:t>
      </w:r>
      <w:r>
        <w:br/>
      </w:r>
      <w:r>
        <w:br/>
      </w:r>
      <w:r>
        <w:t xml:space="preserve">На семинаре от Фонда содействия кредитованию малого бизнеса Москвы выступила Татьяна Репина, представила инструменты гарантийной поддержки: поручительства по кредитам, гарантиям, лизингу. Предпринимателям была представлена информация о  схеме работы Фонда с партнерскими организациями и заемщиками, об условиях предоставления поручительств и критериях оценки.</w:t>
      </w:r>
      <w:r>
        <w:br/>
      </w:r>
      <w:r>
        <w:t xml:space="preserve">Елена Кузьмина, начальник управления развития  среднему и малому бизнесу БайкалИнвестБанка – партнера Фонда - предложила участникам перейти к практическим вопросам и рассказала об особенностях и различиях в подходах в работе с представителями малого и среднего предпринимательства  у крупных и небольших финансовых организаций, рассказала о принципиальных подходах к оценке заемщика, о документах, которые запрашивает у предпринимателя банк для финансового анализа.</w:t>
      </w:r>
      <w:r>
        <w:br/>
      </w:r>
      <w:r>
        <w:br/>
      </w:r>
      <w:r>
        <w:t xml:space="preserve">В завершение участники поделились информацией о собственном опыте работы с банками и государственными структурами, о планах развития и финансирования своих компаний. В частности речь шла о проектах из проектно-строительной отрасли, ювелирной и рекламной сферах, пищевого производства. Участники получили необходимые контакты для дальнейших обращений.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http://garantfund.mos.ru/presscenter/news/detail/7526487.html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526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526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2024-07-12T15:22:05Z</dcterms:created>
  <dcterms:modified xsi:type="dcterms:W3CDTF">2024-07-12T15:22:05Z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