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d54337b57c022d8987fb38a68b7607fa49a3ac"/>
    <w:p>
      <w:pPr>
        <w:pStyle w:val="Heading3"/>
      </w:pPr>
      <w:r>
        <w:t xml:space="preserve">Участники госзаказа всегда могут рассчитывать на гарантийную поддержку в Москве</w:t>
      </w:r>
    </w:p>
    <w:p>
      <w:pPr>
        <w:pStyle w:val="FirstParagraph"/>
      </w:pPr>
      <w:r>
        <w:t xml:space="preserve">22.05.2018</w:t>
      </w:r>
    </w:p>
    <w:p>
      <w:pPr>
        <w:pStyle w:val="BodyText"/>
      </w:pPr>
      <w:r>
        <w:t xml:space="preserve">Центр услуг для бизнеса Восточного административного округа Москвы провел специализированный семинар для предпринимателей-участников госзаказа. В мероприятии приняли участие несколько десятков представителей торговых, производственных, IT, транспортных, логистических и других компаний малого бизнеса, которые уже участвуют в торгах или планируют в ближайшее время выйти на этот конкурентный рынок.</w:t>
      </w:r>
      <w:r>
        <w:br/>
      </w:r>
      <w:r>
        <w:br/>
      </w:r>
      <w:r>
        <w:t xml:space="preserve">Первая часть семинара была посвящена возможностям использования инструментов гарантийной поддержки предпринимателями при обращении в банки за тендерными кредитами, банковскими гарантиями.</w:t>
      </w:r>
      <w:r>
        <w:br/>
      </w:r>
      <w:r>
        <w:br/>
      </w:r>
      <w:r>
        <w:t xml:space="preserve">О работе этого механизма государственной помощи рассказал участникам Антон Купринов, исполнительный директор Фонда содействия кредитованию малого бизнеса Москвы. Он обратил внимание на то, что заемные средства небольшого объема банки сегодня готовы предоставлять победителям гостендеров без поручительств, но когда речь идет о том, чтобы выполнить средний или даже крупный контракт, то вопрос о залогах, поручителях становится острым.</w:t>
      </w:r>
      <w:r>
        <w:br/>
      </w:r>
      <w:r>
        <w:br/>
      </w:r>
      <w:r>
        <w:t xml:space="preserve">"Фонд видит свою роль в том, чтобы помогать компаниям, которые успешно исполнили несколько небольших контрактов и, наконец, выиграли значительный контракт. Без нашей помощи таким заемщикам банки могут отказать, предпринимателям будет сложно перейти в другую финансовую нишу. Ведь Фонд предоставляет поручительство до 100 млн руб и покрывает до 70% кредитных рисков», - пояснил руководитель гарантийного фонда.</w:t>
      </w:r>
      <w:r>
        <w:br/>
      </w:r>
      <w:r>
        <w:br/>
      </w:r>
      <w:r>
        <w:t xml:space="preserve">Кроме того, для удобства компаний, постоянных участников таких контрактов Фонд готов открыть в рамках однажды согласованного лимита линию, с тем чтобы предприниматель мог постепенно получать поручительства в комфортном режиме. Это особенно важно при таких контрактах, как поставки медикаментов, канцтоваров, питания в детские сады, школы, больницы, исполнения работ по охране, уборке, ЖКХ и прочему. Сегодня практически каждое четвертое поручительство в Фонде получает участник госзаказа.</w:t>
      </w:r>
      <w:r>
        <w:br/>
      </w:r>
      <w:r>
        <w:br/>
      </w:r>
      <w:r>
        <w:t xml:space="preserve">Со своей стороны предприниматели задавали вопросы об условиях оценки проектов в банках и фонде, о сроках и объемах поручительств, о специфике работы с дефолтами и о прочих сторонах кредитного процесса с господдержкой.</w:t>
      </w:r>
      <w:r>
        <w:br/>
      </w:r>
      <w:r>
        <w:br/>
      </w:r>
      <w:r>
        <w:t xml:space="preserve">Вторую часть семинара провела Надежда Грец, генеральный директор ООО «Тендер Ру», бизнес-тренер, аккредитованный преподаватель ОАО «ЕЭТП», внешний преподаватель курсов повышения квалификации в сфере закупок РЭУ им. Г. В. Плеханова. Речь шла о переходе на электронные закупки с 01 июля 2018 г., открытии специальных банковских счетов, предоставлении банковских гарантий, квалифицированной электронной подписи, реестре ненадежных поставщиков и других аспектах, с которыми сталкиваются участники и победители торгов.</w:t>
      </w:r>
      <w:r>
        <w:br/>
      </w:r>
      <w:r>
        <w:br/>
      </w:r>
      <w:r>
        <w:t xml:space="preserve">Н.Грец привела примеры успешных предпринимателей, обратила внимание на типичные ошибки, с которыми сталкиваются участники госзаказа, призвала тщательно изучать, готовить документацию, ответственно подходить как к процессу участия в торгах, так и исполнения и завершения заказа.</w:t>
      </w:r>
      <w:r>
        <w:br/>
      </w:r>
      <w:r>
        <w:br/>
      </w:r>
      <w:r>
        <w:t xml:space="preserve">На семинаре также была презентована информация о широком спектре услуг и сервисов, к которым предпринимателям обеспечен доступ на базе центров услуг для бизнеса, на порталах mbm.ru и Бизнес-навигатор. Также участников проинформировали о событиях Недели предпринимательства, которая начнется 28 мая в Москве Предпринимательским форумом в Манеже.</w:t>
      </w:r>
    </w:p>
    <w:p>
      <w:pPr>
        <w:pStyle w:val="BodyText"/>
      </w:pPr>
      <w:r>
        <w:br/>
      </w:r>
    </w:p>
    <w:p>
      <w:pPr>
        <w:pStyle w:val="BodyText"/>
      </w:pPr>
      <w:r>
        <w:t xml:space="preserve">Адрес страницы:</w:t>
      </w:r>
      <w:r>
        <w:t xml:space="preserve"> </w:t>
      </w:r>
      <w:hyperlink r:id="rId20">
        <w:r>
          <w:rPr>
            <w:rStyle w:val="Hyperlink"/>
          </w:rPr>
          <w:t xml:space="preserve">http://garantfund.mos.ru/presscenter/news/detail/7343692.html</w:t>
        </w:r>
      </w:hyperlink>
    </w:p>
    <w:p>
      <w:pPr>
        <w:pStyle w:val="BodyText"/>
      </w:pPr>
      <w:hyperlink r:id="rId21">
        <w:r>
          <w:rPr>
            <w:rStyle w:val="Hyperlink"/>
          </w:rPr>
          <w:t xml:space="preserve">НО города Москвы «Фонд содействия кредитованию малого бизнеса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arantfund.mos.ru" TargetMode="External" /><Relationship Type="http://schemas.openxmlformats.org/officeDocument/2006/relationships/hyperlink" Id="rId20" Target="http://garantfund.mos.ru/presscenter/news/detail/7343692.html" TargetMode="External" /></Relationships>
</file>

<file path=word/_rels/footnotes.xml.rels><?xml version="1.0" encoding="UTF-8"?><Relationships xmlns="http://schemas.openxmlformats.org/package/2006/relationships"><Relationship Type="http://schemas.openxmlformats.org/officeDocument/2006/relationships/hyperlink" Id="rId21" Target="http://garantfund.mos.ru" TargetMode="External" /><Relationship Type="http://schemas.openxmlformats.org/officeDocument/2006/relationships/hyperlink" Id="rId20" Target="http://garantfund.mos.ru/presscenter/news/detail/73436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2025-08-05T15:19:34Z</dcterms:created>
  <dcterms:modified xsi:type="dcterms:W3CDTF">2025-08-05T15:19:34Z</dcterms:modified>
</cp:coreProperties>
</file>

<file path=docProps/custom.xml><?xml version="1.0" encoding="utf-8"?>
<Properties xmlns="http://schemas.openxmlformats.org/officeDocument/2006/custom-properties" xmlns:vt="http://schemas.openxmlformats.org/officeDocument/2006/docPropsVTypes"/>
</file>